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C548E" w14:textId="7B2791C4" w:rsidR="008A5EA2" w:rsidRPr="003D543E" w:rsidRDefault="008A5EA2" w:rsidP="008A5EA2">
      <w:pPr>
        <w:spacing w:line="48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-US"/>
        </w:rPr>
      </w:pPr>
      <w:r w:rsidRPr="008A5EA2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n-US"/>
        </w:rPr>
        <w:t>T</w:t>
      </w:r>
      <w:r w:rsidR="00F178F1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n-US"/>
        </w:rPr>
        <w:t>ABLE</w:t>
      </w:r>
      <w:r w:rsidRPr="008A5EA2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n-US"/>
        </w:rPr>
        <w:t>2</w:t>
      </w:r>
      <w:r w:rsidRPr="008A5EA2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val="en-US"/>
        </w:rPr>
        <w:t xml:space="preserve"> </w:t>
      </w:r>
      <w:r w:rsidRPr="00C540CD">
        <w:rPr>
          <w:rFonts w:ascii="Times New Roman" w:hAnsi="Times New Roman" w:cs="Times New Roman"/>
          <w:sz w:val="24"/>
          <w:szCs w:val="24"/>
          <w:lang w:val="en-US"/>
        </w:rPr>
        <w:t>Pediatric</w:t>
      </w:r>
      <w:r w:rsidRPr="00C540CD">
        <w:rPr>
          <w:rFonts w:ascii="Times New Roman" w:eastAsia="Times New Roman" w:hAnsi="Times New Roman" w:cs="Times New Roman"/>
          <w:color w:val="202124"/>
          <w:sz w:val="24"/>
          <w:szCs w:val="24"/>
          <w:lang w:val="en-US"/>
        </w:rPr>
        <w:t xml:space="preserve"> ALL patient characteristics and treatment outcomes</w:t>
      </w:r>
    </w:p>
    <w:tbl>
      <w:tblPr>
        <w:tblStyle w:val="Tabladecuadrcula3"/>
        <w:tblW w:w="0" w:type="auto"/>
        <w:tblInd w:w="5" w:type="dxa"/>
        <w:tblLook w:val="07A0" w:firstRow="1" w:lastRow="0" w:firstColumn="1" w:lastColumn="1" w:noHBand="1" w:noVBand="1"/>
      </w:tblPr>
      <w:tblGrid>
        <w:gridCol w:w="4414"/>
        <w:gridCol w:w="3524"/>
      </w:tblGrid>
      <w:tr w:rsidR="008A5EA2" w:rsidRPr="00C540CD" w14:paraId="367A5A44" w14:textId="77777777" w:rsidTr="007C2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14" w:type="dxa"/>
            <w:tcBorders>
              <w:top w:val="single" w:sz="12" w:space="0" w:color="000000"/>
              <w:bottom w:val="single" w:sz="12" w:space="0" w:color="000000"/>
            </w:tcBorders>
          </w:tcPr>
          <w:p w14:paraId="7BB4B322" w14:textId="77777777" w:rsidR="008A5EA2" w:rsidRPr="00C540CD" w:rsidRDefault="008A5EA2" w:rsidP="007C2220">
            <w:pPr>
              <w:spacing w:line="480" w:lineRule="auto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Characteristic</w:t>
            </w:r>
          </w:p>
        </w:tc>
        <w:tc>
          <w:tcPr>
            <w:cnfStyle w:val="000100001000" w:firstRow="0" w:lastRow="0" w:firstColumn="0" w:lastColumn="1" w:oddVBand="0" w:evenVBand="0" w:oddHBand="0" w:evenHBand="0" w:firstRowFirstColumn="0" w:firstRowLastColumn="1" w:lastRowFirstColumn="0" w:lastRowLastColumn="0"/>
            <w:tcW w:w="3524" w:type="dxa"/>
            <w:tcBorders>
              <w:top w:val="single" w:sz="12" w:space="0" w:color="000000"/>
              <w:bottom w:val="single" w:sz="12" w:space="0" w:color="000000"/>
            </w:tcBorders>
          </w:tcPr>
          <w:p w14:paraId="5E4920C0" w14:textId="77777777" w:rsidR="008A5EA2" w:rsidRPr="00C540CD" w:rsidRDefault="008A5EA2" w:rsidP="007C2220">
            <w:pPr>
              <w:spacing w:line="480" w:lineRule="auto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ALL patient visits (n=553)</w:t>
            </w:r>
          </w:p>
        </w:tc>
      </w:tr>
      <w:tr w:rsidR="008A5EA2" w:rsidRPr="00C540CD" w14:paraId="28269AAD" w14:textId="77777777" w:rsidTr="007C2220">
        <w:trPr>
          <w:trHeight w:val="27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tcBorders>
              <w:right w:val="single" w:sz="12" w:space="0" w:color="FFFFFF" w:themeColor="background1"/>
            </w:tcBorders>
          </w:tcPr>
          <w:p w14:paraId="0EE5A77E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lang w:val="en-US"/>
              </w:rPr>
              <w:t>Protocol modification, n (%)</w:t>
            </w:r>
          </w:p>
          <w:p w14:paraId="1B573683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val="en-US"/>
              </w:rPr>
              <w:t xml:space="preserve">Intrinsic causes </w:t>
            </w:r>
          </w:p>
          <w:p w14:paraId="7BD2F9BB" w14:textId="77777777" w:rsidR="008A5EA2" w:rsidRPr="00C540CD" w:rsidRDefault="008A5EA2" w:rsidP="007C2220">
            <w:pPr>
              <w:spacing w:line="480" w:lineRule="auto"/>
              <w:ind w:left="1416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  <w:t>Toxicity*</w:t>
            </w:r>
          </w:p>
          <w:p w14:paraId="67C37956" w14:textId="77777777" w:rsidR="008A5EA2" w:rsidRPr="00C540CD" w:rsidRDefault="008A5EA2" w:rsidP="007C2220">
            <w:pPr>
              <w:spacing w:line="480" w:lineRule="auto"/>
              <w:ind w:left="1416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  <w:t xml:space="preserve">Infection </w:t>
            </w:r>
          </w:p>
          <w:p w14:paraId="5112C291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0"/>
                <w:szCs w:val="20"/>
                <w:lang w:val="en-US"/>
              </w:rPr>
            </w:pPr>
          </w:p>
          <w:p w14:paraId="57BF04D9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z w:val="20"/>
                <w:szCs w:val="20"/>
                <w:lang w:val="en-US"/>
              </w:rPr>
              <w:t xml:space="preserve">Extrinsic causes </w:t>
            </w:r>
          </w:p>
          <w:p w14:paraId="5629E04F" w14:textId="77777777" w:rsidR="008A5EA2" w:rsidRPr="00C540CD" w:rsidRDefault="008A5EA2" w:rsidP="007C2220">
            <w:pPr>
              <w:spacing w:line="480" w:lineRule="auto"/>
              <w:ind w:left="1416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  <w:t xml:space="preserve">Chemotherapy stock-outs </w:t>
            </w:r>
          </w:p>
          <w:p w14:paraId="1F8F0A9F" w14:textId="77777777" w:rsidR="008A5EA2" w:rsidRPr="00C540CD" w:rsidRDefault="008A5EA2" w:rsidP="007C2220">
            <w:pPr>
              <w:spacing w:line="480" w:lineRule="auto"/>
              <w:ind w:left="1416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  <w:t xml:space="preserve">Lack of inpatient beds </w:t>
            </w:r>
          </w:p>
          <w:p w14:paraId="4D973A05" w14:textId="77777777" w:rsidR="008A5EA2" w:rsidRPr="00C540CD" w:rsidRDefault="008A5EA2" w:rsidP="007C2220">
            <w:pPr>
              <w:spacing w:line="480" w:lineRule="auto"/>
              <w:ind w:left="1416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  <w:t xml:space="preserve">Lack of financial resources  </w:t>
            </w:r>
          </w:p>
          <w:p w14:paraId="3D99BDDD" w14:textId="77777777" w:rsidR="008A5EA2" w:rsidRPr="00C540CD" w:rsidRDefault="008A5EA2" w:rsidP="007C2220">
            <w:pPr>
              <w:spacing w:line="480" w:lineRule="auto"/>
              <w:ind w:left="1416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  <w:t xml:space="preserve">Lack of venous access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24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4E159E47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</w:pPr>
          </w:p>
          <w:p w14:paraId="2E65DF36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val="en-US"/>
              </w:rPr>
              <w:t>71 (12.8%)</w:t>
            </w:r>
          </w:p>
          <w:p w14:paraId="1530F728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 xml:space="preserve">               43 (7.7%)</w:t>
            </w:r>
          </w:p>
          <w:p w14:paraId="12867986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 xml:space="preserve">                21 (3.8%)</w:t>
            </w:r>
          </w:p>
          <w:p w14:paraId="4BF0C1CD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</w:p>
          <w:p w14:paraId="6E47B12F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b/>
                <w:i w:val="0"/>
                <w:iCs w:val="0"/>
                <w:sz w:val="20"/>
                <w:szCs w:val="20"/>
                <w:lang w:val="en-US"/>
              </w:rPr>
              <w:t>32(5.8%)</w:t>
            </w:r>
          </w:p>
          <w:p w14:paraId="4F653E80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 xml:space="preserve">                7(1.3%)</w:t>
            </w:r>
          </w:p>
          <w:p w14:paraId="7A1B9A06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 xml:space="preserve">               10(1.8%)</w:t>
            </w:r>
          </w:p>
          <w:p w14:paraId="0FF0DD1B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 xml:space="preserve">               13(2.4%)</w:t>
            </w:r>
          </w:p>
          <w:p w14:paraId="265F1147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 xml:space="preserve">                 7(0.7%)</w:t>
            </w:r>
          </w:p>
        </w:tc>
      </w:tr>
      <w:tr w:rsidR="008A5EA2" w:rsidRPr="00C540CD" w14:paraId="0E3D8C99" w14:textId="77777777" w:rsidTr="007C22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tcBorders>
              <w:right w:val="single" w:sz="12" w:space="0" w:color="FFFFFF" w:themeColor="background1"/>
            </w:tcBorders>
          </w:tcPr>
          <w:p w14:paraId="6C089611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**Treatment phases compliance:</w:t>
            </w:r>
          </w:p>
          <w:p w14:paraId="2072055C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Newly diagnosed patients </w:t>
            </w:r>
          </w:p>
          <w:p w14:paraId="51446593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Induction therapy </w:t>
            </w:r>
          </w:p>
          <w:p w14:paraId="47F9995C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Consolidation </w:t>
            </w:r>
          </w:p>
          <w:p w14:paraId="4D7D39E9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Intermediate maintenance </w:t>
            </w:r>
          </w:p>
          <w:p w14:paraId="5823712A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Delayed intensification </w:t>
            </w:r>
          </w:p>
          <w:p w14:paraId="62B94A12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  <w:t xml:space="preserve">Extended </w:t>
            </w:r>
            <w:proofErr w:type="spellStart"/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  <w:t>maintenance</w:t>
            </w:r>
            <w:proofErr w:type="spellEnd"/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  <w:t xml:space="preserve"> </w:t>
            </w:r>
          </w:p>
          <w:p w14:paraId="795B915E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</w:pPr>
            <w:proofErr w:type="spellStart"/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  <w:t>Relapse</w:t>
            </w:r>
            <w:proofErr w:type="spellEnd"/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  <w:t>protocol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24" w:type="dxa"/>
            <w:tcBorders>
              <w:left w:val="single" w:sz="12" w:space="0" w:color="FFFFFF" w:themeColor="background1"/>
            </w:tcBorders>
          </w:tcPr>
          <w:p w14:paraId="48E4B484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</w:p>
          <w:p w14:paraId="08EDFF0D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>42/42 (100%)</w:t>
            </w:r>
          </w:p>
          <w:p w14:paraId="2D5E5A0F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>83/92 (90.2%)</w:t>
            </w:r>
          </w:p>
          <w:p w14:paraId="17B1BE1B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>25/41 (66%)</w:t>
            </w:r>
          </w:p>
          <w:p w14:paraId="18D6BE52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>41/64 (60%)</w:t>
            </w:r>
          </w:p>
          <w:p w14:paraId="014FFF39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>46/55 (88%)</w:t>
            </w:r>
          </w:p>
          <w:p w14:paraId="74FEE05B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 xml:space="preserve">           205/223 (82%)</w:t>
            </w:r>
          </w:p>
          <w:p w14:paraId="70F1FB2B" w14:textId="77777777" w:rsidR="008A5EA2" w:rsidRPr="00C540CD" w:rsidRDefault="008A5EA2" w:rsidP="007C2220">
            <w:pPr>
              <w:spacing w:line="480" w:lineRule="auto"/>
              <w:ind w:left="7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>17/</w:t>
            </w:r>
            <w:proofErr w:type="gramStart"/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>31  (</w:t>
            </w:r>
            <w:proofErr w:type="gramEnd"/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sz w:val="20"/>
                <w:szCs w:val="20"/>
                <w:lang w:val="en-US"/>
              </w:rPr>
              <w:t>100%)</w:t>
            </w:r>
          </w:p>
        </w:tc>
      </w:tr>
      <w:tr w:rsidR="008A5EA2" w:rsidRPr="00C540CD" w14:paraId="5BB512F9" w14:textId="77777777" w:rsidTr="007C22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tcBorders>
              <w:right w:val="single" w:sz="12" w:space="0" w:color="FFFFFF" w:themeColor="background1"/>
            </w:tcBorders>
          </w:tcPr>
          <w:p w14:paraId="6A477351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val="en-US"/>
              </w:rPr>
            </w:pPr>
          </w:p>
          <w:p w14:paraId="521FCAEF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val="en-US"/>
              </w:rPr>
              <w:t>Treatment abandonment rate, n (%)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24" w:type="dxa"/>
            <w:tcBorders>
              <w:left w:val="single" w:sz="12" w:space="0" w:color="FFFFFF" w:themeColor="background1"/>
            </w:tcBorders>
          </w:tcPr>
          <w:p w14:paraId="28B90ADE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</w:p>
          <w:p w14:paraId="5DE2AA88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lang w:val="en-US"/>
              </w:rPr>
              <w:t xml:space="preserve">           3 (3.3%)</w:t>
            </w:r>
          </w:p>
        </w:tc>
      </w:tr>
      <w:tr w:rsidR="008A5EA2" w:rsidRPr="00C540CD" w14:paraId="71EF40A1" w14:textId="77777777" w:rsidTr="007C2220">
        <w:trPr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tcBorders>
              <w:bottom w:val="none" w:sz="0" w:space="0" w:color="auto"/>
              <w:right w:val="single" w:sz="12" w:space="0" w:color="FFFFFF" w:themeColor="background1"/>
            </w:tcBorders>
          </w:tcPr>
          <w:p w14:paraId="4CA5C60E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val="en-US"/>
              </w:rPr>
              <w:t>Induction Mortality rate, n (%)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24" w:type="dxa"/>
            <w:tcBorders>
              <w:left w:val="single" w:sz="12" w:space="0" w:color="FFFFFF" w:themeColor="background1"/>
              <w:bottom w:val="none" w:sz="0" w:space="0" w:color="auto"/>
            </w:tcBorders>
          </w:tcPr>
          <w:p w14:paraId="0EABDAA2" w14:textId="77777777" w:rsidR="008A5EA2" w:rsidRPr="00C540CD" w:rsidRDefault="008A5EA2" w:rsidP="007C2220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C540CD">
              <w:rPr>
                <w:rFonts w:ascii="Times New Roman" w:eastAsia="Times New Roman" w:hAnsi="Times New Roman" w:cs="Times New Roman"/>
                <w:i w:val="0"/>
                <w:iCs w:val="0"/>
                <w:lang w:val="en-US"/>
              </w:rPr>
              <w:t xml:space="preserve">           6 (14.2%)</w:t>
            </w:r>
          </w:p>
        </w:tc>
      </w:tr>
    </w:tbl>
    <w:p w14:paraId="028F6125" w14:textId="77777777" w:rsidR="008A5EA2" w:rsidRPr="00C540CD" w:rsidRDefault="008A5EA2" w:rsidP="008A5EA2">
      <w:pPr>
        <w:spacing w:line="480" w:lineRule="auto"/>
        <w:jc w:val="both"/>
        <w:rPr>
          <w:rFonts w:ascii="Times New Roman" w:eastAsia="Times New Roman" w:hAnsi="Times New Roman" w:cs="Times New Roman"/>
          <w:sz w:val="21"/>
          <w:szCs w:val="21"/>
          <w:lang w:val="en-US"/>
        </w:rPr>
      </w:pPr>
      <w:r w:rsidRPr="00C540CD">
        <w:rPr>
          <w:rFonts w:ascii="Times New Roman" w:eastAsia="Times New Roman" w:hAnsi="Times New Roman" w:cs="Times New Roman"/>
          <w:sz w:val="21"/>
          <w:szCs w:val="21"/>
          <w:lang w:val="en-US"/>
        </w:rPr>
        <w:t>*=Toxicity: Hematological, pancreatitis, venous thrombosis, and grade III neuropathy.</w:t>
      </w:r>
    </w:p>
    <w:p w14:paraId="518E7745" w14:textId="77777777" w:rsidR="008A5EA2" w:rsidRDefault="008A5EA2" w:rsidP="008A5EA2">
      <w:pPr>
        <w:spacing w:line="480" w:lineRule="auto"/>
        <w:jc w:val="both"/>
        <w:rPr>
          <w:rFonts w:ascii="Times New Roman" w:eastAsia="Times New Roman" w:hAnsi="Times New Roman" w:cs="Times New Roman"/>
          <w:sz w:val="21"/>
          <w:szCs w:val="21"/>
          <w:lang w:val="en-US"/>
        </w:rPr>
      </w:pPr>
      <w:r w:rsidRPr="00C540CD">
        <w:rPr>
          <w:rFonts w:ascii="Times New Roman" w:eastAsia="Times New Roman" w:hAnsi="Times New Roman" w:cs="Times New Roman"/>
          <w:sz w:val="21"/>
          <w:szCs w:val="21"/>
          <w:lang w:val="en-US"/>
        </w:rPr>
        <w:t>**=Total number of patients who had treatment compliance according to each phase.</w:t>
      </w:r>
    </w:p>
    <w:p w14:paraId="61828010" w14:textId="6D2865ED" w:rsidR="008A5EA2" w:rsidRPr="00880BF0" w:rsidRDefault="008A5EA2" w:rsidP="008A5EA2">
      <w:pPr>
        <w:spacing w:line="480" w:lineRule="auto"/>
        <w:jc w:val="both"/>
        <w:rPr>
          <w:rFonts w:ascii="Times New Roman" w:eastAsia="Times New Roman" w:hAnsi="Times New Roman" w:cs="Times New Roman"/>
          <w:sz w:val="21"/>
          <w:szCs w:val="21"/>
          <w:lang w:val="en-US"/>
        </w:rPr>
      </w:pPr>
      <w:r w:rsidRPr="00C540CD">
        <w:rPr>
          <w:rFonts w:ascii="Times New Roman" w:eastAsia="Times New Roman" w:hAnsi="Times New Roman" w:cs="Times New Roman"/>
          <w:sz w:val="21"/>
          <w:szCs w:val="21"/>
          <w:lang w:val="en-US"/>
        </w:rPr>
        <w:t>ALL</w:t>
      </w:r>
      <w:r>
        <w:rPr>
          <w:rFonts w:ascii="Times New Roman" w:eastAsia="Times New Roman" w:hAnsi="Times New Roman" w:cs="Times New Roman"/>
          <w:sz w:val="21"/>
          <w:szCs w:val="21"/>
          <w:lang w:val="en-US"/>
        </w:rPr>
        <w:t xml:space="preserve"> </w:t>
      </w:r>
      <w:r w:rsidRPr="00C540CD">
        <w:rPr>
          <w:rFonts w:ascii="Times New Roman" w:eastAsia="Times New Roman" w:hAnsi="Times New Roman" w:cs="Times New Roman"/>
          <w:sz w:val="21"/>
          <w:szCs w:val="21"/>
          <w:lang w:val="en-US"/>
        </w:rPr>
        <w:t>acute lymphoblastic leukemia.</w:t>
      </w:r>
    </w:p>
    <w:p w14:paraId="2D3E3C78" w14:textId="77777777" w:rsidR="002053E8" w:rsidRDefault="002053E8"/>
    <w:sectPr w:rsidR="002053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EA2"/>
    <w:rsid w:val="002053E8"/>
    <w:rsid w:val="008A5EA2"/>
    <w:rsid w:val="00DE7B3A"/>
    <w:rsid w:val="00F1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A85892"/>
  <w15:chartTrackingRefBased/>
  <w15:docId w15:val="{2A73DD40-6340-984C-B6F0-947D2704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EA2"/>
    <w:pPr>
      <w:spacing w:line="276" w:lineRule="auto"/>
    </w:pPr>
    <w:rPr>
      <w:rFonts w:ascii="Arial" w:eastAsia="Arial" w:hAnsi="Arial" w:cs="Arial"/>
      <w:sz w:val="22"/>
      <w:szCs w:val="22"/>
      <w:lang w:val="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decuadrcula3">
    <w:name w:val="Grid Table 3"/>
    <w:basedOn w:val="Tablanormal"/>
    <w:uiPriority w:val="48"/>
    <w:rsid w:val="008A5EA2"/>
    <w:rPr>
      <w:sz w:val="22"/>
      <w:szCs w:val="22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ORTIZ NEIRA</dc:creator>
  <cp:keywords/>
  <dc:description/>
  <cp:lastModifiedBy>RODRIGO ORTIZ NEIRA</cp:lastModifiedBy>
  <cp:revision>3</cp:revision>
  <dcterms:created xsi:type="dcterms:W3CDTF">2021-10-05T16:40:00Z</dcterms:created>
  <dcterms:modified xsi:type="dcterms:W3CDTF">2021-10-07T16:08:00Z</dcterms:modified>
</cp:coreProperties>
</file>